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A51C30"/>
          <w:sz w:val="24"/>
          <w:szCs w:val="24"/>
        </w:rPr>
        <w:t xml:space="preserve">ARTIFICIAL INTELLIGENCE (AI)</w:t>
      </w:r>
    </w:p>
    <w:p>
      <w:pPr>
        <w:spacing w:after="80"/>
      </w:pPr>
      <w:r>
        <w:rPr>
          <w:rFonts w:ascii="Calibri" w:cs="Calibri" w:eastAsia="Calibri" w:hAnsi="Calibri"/>
          <w:b/>
          <w:bCs/>
          <w:color w:val="0B1F3A"/>
          <w:sz w:val="52"/>
          <w:szCs w:val="52"/>
        </w:rPr>
        <w:t xml:space="preserve">Usage Policy</w:t>
      </w:r>
    </w:p>
    <w:p>
      <w:pPr>
        <w:spacing w:after="200"/>
      </w:pPr>
      <w:r>
        <w:rPr>
          <w:rFonts w:ascii="Calibri" w:cs="Calibri" w:eastAsia="Calibri" w:hAnsi="Calibri"/>
          <w:i/>
          <w:iCs/>
          <w:color w:val="5A6A82"/>
          <w:sz w:val="26"/>
          <w:szCs w:val="26"/>
        </w:rPr>
        <w:t xml:space="preserve">[Organisation name]</w:t>
      </w:r>
    </w:p>
    <w:tbl>
      <w:tblPr>
        <w:tblW w:type="dxa" w:w="9026"/>
        <w:tblBorders>
          <w:top w:val="single" w:color="0A6F8C" w:sz="6"/>
          <w:left w:val="single" w:color="0A6F8C" w:sz="24"/>
          <w:bottom w:val="single" w:color="0A6F8C" w:sz="6"/>
          <w:right w:val="single" w:color="0A6F8C" w:sz="6"/>
          <w:insideH w:val="none"/>
          <w:insideV w:val="none"/>
        </w:tblBorders>
      </w:tblPr>
      <w:tblGrid>
        <w:gridCol w:w="9026"/>
      </w:tblGrid>
      <w:tr>
        <w:tc>
          <w:tcPr>
            <w:tcW w:type="dxa" w:w="9026"/>
            <w:shd w:fill="F1F8FB" w:color="auto" w:val="clear"/>
            <w:tcMar>
              <w:top w:type="dxa" w:w="120"/>
              <w:left w:type="dxa" w:w="160"/>
              <w:bottom w:type="dxa" w:w="120"/>
              <w:right w:type="dxa" w:w="160"/>
            </w:tcMar>
          </w:tcPr>
          <w:p>
            <w:pPr>
              <w:spacing w:after="60"/>
            </w:pPr>
            <w:r>
              <w:rPr>
                <w:rFonts w:ascii="Calibri" w:cs="Calibri" w:eastAsia="Calibri" w:hAnsi="Calibri"/>
                <w:b/>
                <w:bCs/>
                <w:color w:val="0B1F3A"/>
                <w:sz w:val="20"/>
                <w:szCs w:val="20"/>
              </w:rPr>
              <w:t xml:space="preserve">How to use this template</w:t>
            </w:r>
          </w:p>
          <w:p>
            <w:r>
              <w:rPr>
                <w:rFonts w:ascii="Calibri" w:cs="Calibri" w:eastAsia="Calibri" w:hAnsi="Calibri"/>
                <w:color w:val="222222"/>
                <w:sz w:val="19"/>
                <w:szCs w:val="19"/>
              </w:rPr>
              <w:t xml:space="preserve">Replace everything in [square brackets] with your organisation's details, and delete anything that doesn't apply. Grey italic text is a prompt for you to complete. This template is provided by Foresight as general guidance to help you adopt AI safely — it is not legal advice, and should be reviewed for your circumstances before adoption.</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shd w:fill="EEF3FA" w:color="auto" w:val="clear"/>
            <w:tcMar>
              <w:top w:type="dxa" w:w="60"/>
              <w:left w:type="dxa" w:w="110"/>
              <w:bottom w:type="dxa" w:w="60"/>
              <w:right w:type="dxa" w:w="110"/>
            </w:tcMar>
          </w:tcPr>
          <w:p>
            <w:r>
              <w:rPr>
                <w:rFonts w:ascii="Calibri" w:cs="Calibri" w:eastAsia="Calibri" w:hAnsi="Calibri"/>
                <w:b/>
                <w:bCs/>
                <w:i w:val="false"/>
                <w:iCs w:val="false"/>
                <w:color w:val="0B1F3A"/>
                <w:sz w:val="19"/>
                <w:szCs w:val="19"/>
              </w:rPr>
              <w:t xml:space="preserve">Policy owner</w:t>
            </w:r>
          </w:p>
        </w:tc>
        <w:tc>
          <w:tcPr>
            <w:tcW w:type="dxa" w:w="6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[Name / job title]</w:t>
            </w:r>
          </w:p>
        </w:tc>
      </w:tr>
      <w:tr>
        <w:tc>
          <w:tcPr>
            <w:tcW w:type="dxa" w:w="3000"/>
            <w:shd w:fill="EEF3FA" w:color="auto" w:val="clear"/>
            <w:tcMar>
              <w:top w:type="dxa" w:w="60"/>
              <w:left w:type="dxa" w:w="110"/>
              <w:bottom w:type="dxa" w:w="60"/>
              <w:right w:type="dxa" w:w="110"/>
            </w:tcMar>
          </w:tcPr>
          <w:p>
            <w:r>
              <w:rPr>
                <w:rFonts w:ascii="Calibri" w:cs="Calibri" w:eastAsia="Calibri" w:hAnsi="Calibri"/>
                <w:b/>
                <w:bCs/>
                <w:i w:val="false"/>
                <w:iCs w:val="false"/>
                <w:color w:val="0B1F3A"/>
                <w:sz w:val="19"/>
                <w:szCs w:val="19"/>
              </w:rPr>
              <w:t xml:space="preserve">Version</w:t>
            </w:r>
          </w:p>
        </w:tc>
        <w:tc>
          <w:tcPr>
            <w:tcW w:type="dxa" w:w="6026"/>
            <w:tcMar>
              <w:top w:type="dxa" w:w="60"/>
              <w:left w:type="dxa" w:w="110"/>
              <w:bottom w:type="dxa" w:w="60"/>
              <w:right w:type="dxa" w:w="110"/>
            </w:tcMar>
          </w:tcPr>
          <w:p>
            <w:r>
              <w:rPr>
                <w:rFonts w:ascii="Calibri" w:cs="Calibri" w:eastAsia="Calibri" w:hAnsi="Calibri"/>
                <w:b w:val="false"/>
                <w:bCs w:val="false"/>
                <w:i w:val="false"/>
                <w:iCs w:val="false"/>
                <w:color w:val="222222"/>
                <w:sz w:val="19"/>
                <w:szCs w:val="19"/>
              </w:rPr>
              <w:t xml:space="preserve">1.0</w:t>
            </w:r>
          </w:p>
        </w:tc>
      </w:tr>
      <w:tr>
        <w:tc>
          <w:tcPr>
            <w:tcW w:type="dxa" w:w="3000"/>
            <w:shd w:fill="EEF3FA" w:color="auto" w:val="clear"/>
            <w:tcMar>
              <w:top w:type="dxa" w:w="60"/>
              <w:left w:type="dxa" w:w="110"/>
              <w:bottom w:type="dxa" w:w="60"/>
              <w:right w:type="dxa" w:w="110"/>
            </w:tcMar>
          </w:tcPr>
          <w:p>
            <w:r>
              <w:rPr>
                <w:rFonts w:ascii="Calibri" w:cs="Calibri" w:eastAsia="Calibri" w:hAnsi="Calibri"/>
                <w:b/>
                <w:bCs/>
                <w:i w:val="false"/>
                <w:iCs w:val="false"/>
                <w:color w:val="0B1F3A"/>
                <w:sz w:val="19"/>
                <w:szCs w:val="19"/>
              </w:rPr>
              <w:t xml:space="preserve">Effective date</w:t>
            </w:r>
          </w:p>
        </w:tc>
        <w:tc>
          <w:tcPr>
            <w:tcW w:type="dxa" w:w="6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[DD Month YYYY]</w:t>
            </w:r>
          </w:p>
        </w:tc>
      </w:tr>
      <w:tr>
        <w:tc>
          <w:tcPr>
            <w:tcW w:type="dxa" w:w="3000"/>
            <w:shd w:fill="EEF3FA" w:color="auto" w:val="clear"/>
            <w:tcMar>
              <w:top w:type="dxa" w:w="60"/>
              <w:left w:type="dxa" w:w="110"/>
              <w:bottom w:type="dxa" w:w="60"/>
              <w:right w:type="dxa" w:w="110"/>
            </w:tcMar>
          </w:tcPr>
          <w:p>
            <w:r>
              <w:rPr>
                <w:rFonts w:ascii="Calibri" w:cs="Calibri" w:eastAsia="Calibri" w:hAnsi="Calibri"/>
                <w:b/>
                <w:bCs/>
                <w:i w:val="false"/>
                <w:iCs w:val="false"/>
                <w:color w:val="0B1F3A"/>
                <w:sz w:val="19"/>
                <w:szCs w:val="19"/>
              </w:rPr>
              <w:t xml:space="preserve">Next review date</w:t>
            </w:r>
          </w:p>
        </w:tc>
        <w:tc>
          <w:tcPr>
            <w:tcW w:type="dxa" w:w="6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[DD Month YYYY]</w:t>
            </w:r>
          </w:p>
        </w:tc>
      </w:tr>
      <w:tr>
        <w:tc>
          <w:tcPr>
            <w:tcW w:type="dxa" w:w="3000"/>
            <w:shd w:fill="EEF3FA" w:color="auto" w:val="clear"/>
            <w:tcMar>
              <w:top w:type="dxa" w:w="60"/>
              <w:left w:type="dxa" w:w="110"/>
              <w:bottom w:type="dxa" w:w="60"/>
              <w:right w:type="dxa" w:w="110"/>
            </w:tcMar>
          </w:tcPr>
          <w:p>
            <w:r>
              <w:rPr>
                <w:rFonts w:ascii="Calibri" w:cs="Calibri" w:eastAsia="Calibri" w:hAnsi="Calibri"/>
                <w:b/>
                <w:bCs/>
                <w:i w:val="false"/>
                <w:iCs w:val="false"/>
                <w:color w:val="0B1F3A"/>
                <w:sz w:val="19"/>
                <w:szCs w:val="19"/>
              </w:rPr>
              <w:t xml:space="preserve">Approved by</w:t>
            </w:r>
          </w:p>
        </w:tc>
        <w:tc>
          <w:tcPr>
            <w:tcW w:type="dxa" w:w="6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[Name / job title]</w:t>
            </w:r>
          </w:p>
        </w:tc>
      </w:tr>
    </w:tbl>
    <w:p>
      <w:pPr>
        <w:pBdr>
          <w:bottom w:val="single" w:color="D8E3F0" w:sz="6" w:space="4"/>
        </w:pBdr>
        <w:spacing w:after="120" w:before="280"/>
      </w:pPr>
      <w:r>
        <w:rPr>
          <w:rFonts w:ascii="Calibri" w:cs="Calibri" w:eastAsia="Calibri" w:hAnsi="Calibri"/>
          <w:b/>
          <w:bCs/>
          <w:color w:val="0B1F3A"/>
          <w:sz w:val="28"/>
          <w:szCs w:val="28"/>
        </w:rPr>
        <w:t xml:space="preserve">1. Purpose and scope</w:t>
      </w:r>
    </w:p>
    <w:p>
      <w:pPr>
        <w:spacing w:after="120"/>
      </w:pPr>
      <w:r>
        <w:rPr>
          <w:rFonts w:ascii="Calibri" w:cs="Calibri" w:eastAsia="Calibri" w:hAnsi="Calibri"/>
          <w:color w:val="222222"/>
          <w:sz w:val="21"/>
          <w:szCs w:val="21"/>
        </w:rPr>
        <w:t xml:space="preserve">This policy sets out how staff may use artificial intelligence (AI) tools at [Organisation name]. Its purpose is to let us benefit from AI while protecting our data, our clients and our legal and contractual obligations.</w:t>
      </w:r>
    </w:p>
    <w:p>
      <w:pPr>
        <w:spacing w:after="120"/>
      </w:pPr>
      <w:r>
        <w:rPr>
          <w:rFonts w:ascii="Calibri" w:cs="Calibri" w:eastAsia="Calibri" w:hAnsi="Calibri"/>
          <w:color w:val="222222"/>
          <w:sz w:val="21"/>
          <w:szCs w:val="21"/>
        </w:rPr>
        <w:t xml:space="preserve">It applies to everyone who works for or on behalf of [Organisation name] — employees, contractors, temporary staff and volunteers — and to all AI tools used for work, whether provided by us or accessed independently, on any device.</w:t>
      </w:r>
    </w:p>
    <w:p>
      <w:pPr>
        <w:pBdr>
          <w:bottom w:val="single" w:color="D8E3F0" w:sz="6" w:space="4"/>
        </w:pBdr>
        <w:spacing w:after="120" w:before="280"/>
      </w:pPr>
      <w:r>
        <w:rPr>
          <w:rFonts w:ascii="Calibri" w:cs="Calibri" w:eastAsia="Calibri" w:hAnsi="Calibri"/>
          <w:b/>
          <w:bCs/>
          <w:color w:val="0B1F3A"/>
          <w:sz w:val="28"/>
          <w:szCs w:val="28"/>
        </w:rPr>
        <w:t xml:space="preserve">2. Definitions</w:t>
      </w:r>
    </w:p>
    <w:p>
      <w:pPr>
        <w:pStyle w:val="ListParagraph"/>
        <w:numPr>
          <w:ilvl w:val="0"/>
          <w:numId w:val="1"/>
        </w:numPr>
        <w:spacing w:after="60"/>
      </w:pPr>
      <w:r>
        <w:rPr>
          <w:rFonts w:ascii="Calibri" w:cs="Calibri" w:eastAsia="Calibri" w:hAnsi="Calibri"/>
          <w:color w:val="222222"/>
          <w:sz w:val="21"/>
          <w:szCs w:val="21"/>
        </w:rPr>
        <w:t xml:space="preserve">AI tools — software that generates or analyses content using artificial intelligence, including assistants such as Microsoft 365 Copilot, ChatGPT and Google Gemini, and AI features built into other software (for example CRM, email and meeting tools).</w:t>
      </w:r>
    </w:p>
    <w:p>
      <w:pPr>
        <w:pStyle w:val="ListParagraph"/>
        <w:numPr>
          <w:ilvl w:val="0"/>
          <w:numId w:val="1"/>
        </w:numPr>
        <w:spacing w:after="60"/>
      </w:pPr>
      <w:r>
        <w:rPr>
          <w:rFonts w:ascii="Calibri" w:cs="Calibri" w:eastAsia="Calibri" w:hAnsi="Calibri"/>
          <w:color w:val="222222"/>
          <w:sz w:val="21"/>
          <w:szCs w:val="21"/>
        </w:rPr>
        <w:t xml:space="preserve">Public AI tools — consumer services accessed with a personal or free account, where data you enter may be retained or used to train the provider's models.</w:t>
      </w:r>
    </w:p>
    <w:p>
      <w:pPr>
        <w:pStyle w:val="ListParagraph"/>
        <w:numPr>
          <w:ilvl w:val="0"/>
          <w:numId w:val="1"/>
        </w:numPr>
        <w:spacing w:after="60"/>
      </w:pPr>
      <w:r>
        <w:rPr>
          <w:rFonts w:ascii="Calibri" w:cs="Calibri" w:eastAsia="Calibri" w:hAnsi="Calibri"/>
          <w:color w:val="222222"/>
          <w:sz w:val="21"/>
          <w:szCs w:val="21"/>
        </w:rPr>
        <w:t xml:space="preserve">Enterprise AI tools — business versions approved by [Organisation name], where data stays within our control and is not used for training.</w:t>
      </w:r>
    </w:p>
    <w:p>
      <w:pPr>
        <w:pStyle w:val="ListParagraph"/>
        <w:numPr>
          <w:ilvl w:val="0"/>
          <w:numId w:val="1"/>
        </w:numPr>
        <w:spacing w:after="60"/>
      </w:pPr>
      <w:r>
        <w:rPr>
          <w:rFonts w:ascii="Calibri" w:cs="Calibri" w:eastAsia="Calibri" w:hAnsi="Calibri"/>
          <w:color w:val="222222"/>
          <w:sz w:val="21"/>
          <w:szCs w:val="21"/>
        </w:rPr>
        <w:t xml:space="preserve">Shadow AI — any AI tool used for work that has not been approved by [Organisation name].</w:t>
      </w:r>
    </w:p>
    <w:p>
      <w:pPr>
        <w:pStyle w:val="ListParagraph"/>
        <w:numPr>
          <w:ilvl w:val="0"/>
          <w:numId w:val="1"/>
        </w:numPr>
        <w:spacing w:after="60"/>
      </w:pPr>
      <w:r>
        <w:rPr>
          <w:rFonts w:ascii="Calibri" w:cs="Calibri" w:eastAsia="Calibri" w:hAnsi="Calibri"/>
          <w:color w:val="222222"/>
          <w:sz w:val="21"/>
          <w:szCs w:val="21"/>
        </w:rPr>
        <w:t xml:space="preserve">Confidential / sensitive data — personal data, client information, contracts, financial or commercial data, credentials, source code, and anything not already in the public domain.</w:t>
      </w:r>
    </w:p>
    <w:p>
      <w:pPr>
        <w:pBdr>
          <w:bottom w:val="single" w:color="D8E3F0" w:sz="6" w:space="4"/>
        </w:pBdr>
        <w:spacing w:after="120" w:before="280"/>
      </w:pPr>
      <w:r>
        <w:rPr>
          <w:rFonts w:ascii="Calibri" w:cs="Calibri" w:eastAsia="Calibri" w:hAnsi="Calibri"/>
          <w:b/>
          <w:bCs/>
          <w:color w:val="0B1F3A"/>
          <w:sz w:val="28"/>
          <w:szCs w:val="28"/>
        </w:rPr>
        <w:t xml:space="preserve">3. Approved AI tools</w:t>
      </w:r>
    </w:p>
    <w:p>
      <w:pPr>
        <w:spacing w:after="120"/>
      </w:pPr>
      <w:r>
        <w:rPr>
          <w:rFonts w:ascii="Calibri" w:cs="Calibri" w:eastAsia="Calibri" w:hAnsi="Calibri"/>
          <w:color w:val="222222"/>
          <w:sz w:val="21"/>
          <w:szCs w:val="21"/>
        </w:rPr>
        <w:t xml:space="preserve">Only the AI tools listed below are approved for use with [Organisation name] data. If a tool you want to use is not listed, request approval from the policy owner before using it for work. Using an unapproved tool for work is 'shadow AI' and is not permitted.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026"/>
      </w:tblGrid>
      <w:tr>
        <w:tc>
          <w:tcPr>
            <w:tcW w:type="dxa" w:w="2600"/>
            <w:shd w:fill="0B1F3A" w:color="auto" w:val="clear"/>
            <w:tcMar>
              <w:top w:type="dxa" w:w="60"/>
              <w:left w:type="dxa" w:w="110"/>
              <w:bottom w:type="dxa" w:w="60"/>
              <w:right w:type="dxa" w:w="110"/>
            </w:tcMar>
          </w:tcPr>
          <w:p>
            <w:r>
              <w:rPr>
                <w:rFonts w:ascii="Calibri" w:cs="Calibri" w:eastAsia="Calibri" w:hAnsi="Calibri"/>
                <w:b/>
                <w:bCs/>
                <w:i w:val="false"/>
                <w:iCs w:val="false"/>
                <w:color w:val="FFFFFF"/>
                <w:sz w:val="19"/>
                <w:szCs w:val="19"/>
              </w:rPr>
              <w:t xml:space="preserve">Approved AI tool</w:t>
            </w:r>
          </w:p>
        </w:tc>
        <w:tc>
          <w:tcPr>
            <w:tcW w:type="dxa" w:w="2200"/>
            <w:shd w:fill="0B1F3A" w:color="auto" w:val="clear"/>
            <w:tcMar>
              <w:top w:type="dxa" w:w="60"/>
              <w:left w:type="dxa" w:w="110"/>
              <w:bottom w:type="dxa" w:w="60"/>
              <w:right w:type="dxa" w:w="110"/>
            </w:tcMar>
          </w:tcPr>
          <w:p>
            <w:r>
              <w:rPr>
                <w:rFonts w:ascii="Calibri" w:cs="Calibri" w:eastAsia="Calibri" w:hAnsi="Calibri"/>
                <w:b/>
                <w:bCs/>
                <w:i w:val="false"/>
                <w:iCs w:val="false"/>
                <w:color w:val="FFFFFF"/>
                <w:sz w:val="19"/>
                <w:szCs w:val="19"/>
              </w:rPr>
              <w:t xml:space="preserve">Approved for</w:t>
            </w:r>
          </w:p>
        </w:tc>
        <w:tc>
          <w:tcPr>
            <w:tcW w:type="dxa" w:w="2200"/>
            <w:shd w:fill="0B1F3A" w:color="auto" w:val="clear"/>
            <w:tcMar>
              <w:top w:type="dxa" w:w="60"/>
              <w:left w:type="dxa" w:w="110"/>
              <w:bottom w:type="dxa" w:w="60"/>
              <w:right w:type="dxa" w:w="110"/>
            </w:tcMar>
          </w:tcPr>
          <w:p>
            <w:r>
              <w:rPr>
                <w:rFonts w:ascii="Calibri" w:cs="Calibri" w:eastAsia="Calibri" w:hAnsi="Calibri"/>
                <w:b/>
                <w:bCs/>
                <w:i w:val="false"/>
                <w:iCs w:val="false"/>
                <w:color w:val="FFFFFF"/>
                <w:sz w:val="19"/>
                <w:szCs w:val="19"/>
              </w:rPr>
              <w:t xml:space="preserve">Owner / approver</w:t>
            </w:r>
          </w:p>
        </w:tc>
        <w:tc>
          <w:tcPr>
            <w:tcW w:type="dxa" w:w="2026"/>
            <w:shd w:fill="0B1F3A" w:color="auto" w:val="clear"/>
            <w:tcMar>
              <w:top w:type="dxa" w:w="60"/>
              <w:left w:type="dxa" w:w="110"/>
              <w:bottom w:type="dxa" w:w="60"/>
              <w:right w:type="dxa" w:w="110"/>
            </w:tcMar>
          </w:tcPr>
          <w:p>
            <w:r>
              <w:rPr>
                <w:rFonts w:ascii="Calibri" w:cs="Calibri" w:eastAsia="Calibri" w:hAnsi="Calibri"/>
                <w:b/>
                <w:bCs/>
                <w:i w:val="false"/>
                <w:iCs w:val="false"/>
                <w:color w:val="FFFFFF"/>
                <w:sz w:val="19"/>
                <w:szCs w:val="19"/>
              </w:rPr>
              <w:t xml:space="preserve">Notes</w:t>
            </w:r>
          </w:p>
        </w:tc>
      </w:tr>
      <w:tr>
        <w:tc>
          <w:tcPr>
            <w:tcW w:type="dxa" w:w="2600"/>
            <w:tcMar>
              <w:top w:type="dxa" w:w="60"/>
              <w:left w:type="dxa" w:w="110"/>
              <w:bottom w:type="dxa" w:w="60"/>
              <w:right w:type="dxa" w:w="110"/>
            </w:tcMar>
          </w:tcPr>
          <w:p>
            <w:r>
              <w:rPr>
                <w:rFonts w:ascii="Calibri" w:cs="Calibri" w:eastAsia="Calibri" w:hAnsi="Calibri"/>
                <w:b w:val="false"/>
                <w:bCs w:val="false"/>
                <w:i w:val="false"/>
                <w:iCs w:val="false"/>
                <w:color w:val="222222"/>
                <w:sz w:val="19"/>
                <w:szCs w:val="19"/>
              </w:rPr>
              <w:t xml:space="preserve">Microsoft 365 Copilot</w:t>
            </w:r>
          </w:p>
        </w:tc>
        <w:tc>
          <w:tcPr>
            <w:tcW w:type="dxa" w:w="2200"/>
            <w:tcMar>
              <w:top w:type="dxa" w:w="60"/>
              <w:left w:type="dxa" w:w="110"/>
              <w:bottom w:type="dxa" w:w="60"/>
              <w:right w:type="dxa" w:w="110"/>
            </w:tcMar>
          </w:tcPr>
          <w:p>
            <w:r>
              <w:rPr>
                <w:rFonts w:ascii="Calibri" w:cs="Calibri" w:eastAsia="Calibri" w:hAnsi="Calibri"/>
                <w:b w:val="false"/>
                <w:bCs w:val="false"/>
                <w:i w:val="false"/>
                <w:iCs w:val="false"/>
                <w:color w:val="222222"/>
                <w:sz w:val="19"/>
                <w:szCs w:val="19"/>
              </w:rPr>
              <w:t xml:space="preserve">Drafting, summarising, internal docs</w:t>
            </w:r>
          </w:p>
        </w:tc>
        <w:tc>
          <w:tcPr>
            <w:tcW w:type="dxa" w:w="2200"/>
            <w:tcMar>
              <w:top w:type="dxa" w:w="60"/>
              <w:left w:type="dxa" w:w="110"/>
              <w:bottom w:type="dxa" w:w="60"/>
              <w:right w:type="dxa" w:w="110"/>
            </w:tcMar>
          </w:tcPr>
          <w:p>
            <w:r>
              <w:rPr>
                <w:rFonts w:ascii="Calibri" w:cs="Calibri" w:eastAsia="Calibri" w:hAnsi="Calibri"/>
                <w:b w:val="false"/>
                <w:bCs w:val="false"/>
                <w:i w:val="false"/>
                <w:iCs w:val="false"/>
                <w:color w:val="222222"/>
                <w:sz w:val="19"/>
                <w:szCs w:val="19"/>
              </w:rPr>
              <w:t xml:space="preserve">[IT Manager]</w:t>
            </w:r>
          </w:p>
        </w:tc>
        <w:tc>
          <w:tcPr>
            <w:tcW w:type="dxa" w:w="2026"/>
            <w:tcMar>
              <w:top w:type="dxa" w:w="60"/>
              <w:left w:type="dxa" w:w="110"/>
              <w:bottom w:type="dxa" w:w="60"/>
              <w:right w:type="dxa" w:w="110"/>
            </w:tcMar>
          </w:tcPr>
          <w:p>
            <w:r>
              <w:rPr>
                <w:rFonts w:ascii="Calibri" w:cs="Calibri" w:eastAsia="Calibri" w:hAnsi="Calibri"/>
                <w:b w:val="false"/>
                <w:bCs w:val="false"/>
                <w:i w:val="false"/>
                <w:iCs w:val="false"/>
                <w:color w:val="222222"/>
                <w:sz w:val="19"/>
                <w:szCs w:val="19"/>
              </w:rPr>
              <w:t xml:space="preserve">Enterprise data protection; MFA enforced</w:t>
            </w:r>
          </w:p>
        </w:tc>
      </w:tr>
      <w:tr>
        <w:tc>
          <w:tcPr>
            <w:tcW w:type="dxa" w:w="26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[Tool name]</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[Approved uses]</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[Owner]</w:t>
            </w:r>
          </w:p>
        </w:tc>
        <w:tc>
          <w:tcPr>
            <w:tcW w:type="dxa" w:w="2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[Notes]</w:t>
            </w:r>
          </w:p>
        </w:tc>
      </w:tr>
      <w:tr>
        <w:tc>
          <w:tcPr>
            <w:tcW w:type="dxa" w:w="26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[Tool name]</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[Approved uses]</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[Owner]</w:t>
            </w:r>
          </w:p>
        </w:tc>
        <w:tc>
          <w:tcPr>
            <w:tcW w:type="dxa" w:w="2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[Notes]</w:t>
            </w:r>
          </w:p>
        </w:tc>
      </w:tr>
      <w:tr>
        <w:tc>
          <w:tcPr>
            <w:tcW w:type="dxa" w:w="26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[Tool name]</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[Approved uses]</w:t>
            </w:r>
          </w:p>
        </w:tc>
        <w:tc>
          <w:tcPr>
            <w:tcW w:type="dxa" w:w="2200"/>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[Owner]</w:t>
            </w:r>
          </w:p>
        </w:tc>
        <w:tc>
          <w:tcPr>
            <w:tcW w:type="dxa" w:w="2026"/>
            <w:tcMar>
              <w:top w:type="dxa" w:w="60"/>
              <w:left w:type="dxa" w:w="110"/>
              <w:bottom w:type="dxa" w:w="60"/>
              <w:right w:type="dxa" w:w="110"/>
            </w:tcMar>
          </w:tcPr>
          <w:p>
            <w:r>
              <w:rPr>
                <w:rFonts w:ascii="Calibri" w:cs="Calibri" w:eastAsia="Calibri" w:hAnsi="Calibri"/>
                <w:b w:val="false"/>
                <w:bCs w:val="false"/>
                <w:i/>
                <w:iCs/>
                <w:color w:val="5A6A82"/>
                <w:sz w:val="19"/>
                <w:szCs w:val="19"/>
              </w:rPr>
              <w:t xml:space="preserve">[Notes]</w:t>
            </w:r>
          </w:p>
        </w:tc>
      </w:tr>
    </w:tbl>
    <w:p>
      <w:pPr>
        <w:spacing w:after="120"/>
      </w:pPr>
    </w:p>
    <w:p>
      <w:pPr>
        <w:pBdr>
          <w:bottom w:val="single" w:color="D8E3F0" w:sz="6" w:space="4"/>
        </w:pBdr>
        <w:spacing w:after="120" w:before="280"/>
      </w:pPr>
      <w:r>
        <w:rPr>
          <w:rFonts w:ascii="Calibri" w:cs="Calibri" w:eastAsia="Calibri" w:hAnsi="Calibri"/>
          <w:b/>
          <w:bCs/>
          <w:color w:val="0B1F3A"/>
          <w:sz w:val="28"/>
          <w:szCs w:val="28"/>
        </w:rPr>
        <w:t xml:space="preserve">4. Acceptable use</w:t>
      </w:r>
    </w:p>
    <w:p>
      <w:pPr>
        <w:spacing w:after="120"/>
      </w:pPr>
      <w:r>
        <w:rPr>
          <w:rFonts w:ascii="Calibri" w:cs="Calibri" w:eastAsia="Calibri" w:hAnsi="Calibri"/>
          <w:color w:val="222222"/>
          <w:sz w:val="21"/>
          <w:szCs w:val="21"/>
        </w:rPr>
        <w:t xml:space="preserve">Used sensibly, AI is encouraged. You may use approved AI tools to:</w:t>
      </w:r>
    </w:p>
    <w:p>
      <w:pPr>
        <w:pStyle w:val="ListParagraph"/>
        <w:numPr>
          <w:ilvl w:val="0"/>
          <w:numId w:val="1"/>
        </w:numPr>
        <w:spacing w:after="60"/>
      </w:pPr>
      <w:r>
        <w:rPr>
          <w:rFonts w:ascii="Calibri" w:cs="Calibri" w:eastAsia="Calibri" w:hAnsi="Calibri"/>
          <w:color w:val="222222"/>
          <w:sz w:val="21"/>
          <w:szCs w:val="21"/>
        </w:rPr>
        <w:t xml:space="preserve">Draft, summarise, translate and improve written content.</w:t>
      </w:r>
    </w:p>
    <w:p>
      <w:pPr>
        <w:pStyle w:val="ListParagraph"/>
        <w:numPr>
          <w:ilvl w:val="0"/>
          <w:numId w:val="1"/>
        </w:numPr>
        <w:spacing w:after="60"/>
      </w:pPr>
      <w:r>
        <w:rPr>
          <w:rFonts w:ascii="Calibri" w:cs="Calibri" w:eastAsia="Calibri" w:hAnsi="Calibri"/>
          <w:color w:val="222222"/>
          <w:sz w:val="21"/>
          <w:szCs w:val="21"/>
        </w:rPr>
        <w:t xml:space="preserve">Brainstorm ideas, plan work and structure documents.</w:t>
      </w:r>
    </w:p>
    <w:p>
      <w:pPr>
        <w:pStyle w:val="ListParagraph"/>
        <w:numPr>
          <w:ilvl w:val="0"/>
          <w:numId w:val="1"/>
        </w:numPr>
        <w:spacing w:after="60"/>
      </w:pPr>
      <w:r>
        <w:rPr>
          <w:rFonts w:ascii="Calibri" w:cs="Calibri" w:eastAsia="Calibri" w:hAnsi="Calibri"/>
          <w:color w:val="222222"/>
          <w:sz w:val="21"/>
          <w:szCs w:val="21"/>
        </w:rPr>
        <w:t xml:space="preserve">Analyse or reformat information you are permitted to access.</w:t>
      </w:r>
    </w:p>
    <w:p>
      <w:pPr>
        <w:pStyle w:val="ListParagraph"/>
        <w:numPr>
          <w:ilvl w:val="0"/>
          <w:numId w:val="1"/>
        </w:numPr>
        <w:spacing w:after="60"/>
      </w:pPr>
      <w:r>
        <w:rPr>
          <w:rFonts w:ascii="Calibri" w:cs="Calibri" w:eastAsia="Calibri" w:hAnsi="Calibri"/>
          <w:color w:val="222222"/>
          <w:sz w:val="21"/>
          <w:szCs w:val="21"/>
        </w:rPr>
        <w:t xml:space="preserve">Speed up routine tasks — provided you review the output (see section 7).</w:t>
      </w:r>
    </w:p>
    <w:p>
      <w:pPr>
        <w:pBdr>
          <w:bottom w:val="single" w:color="D8E3F0" w:sz="6" w:space="4"/>
        </w:pBdr>
        <w:spacing w:after="120" w:before="280"/>
      </w:pPr>
      <w:r>
        <w:rPr>
          <w:rFonts w:ascii="Calibri" w:cs="Calibri" w:eastAsia="Calibri" w:hAnsi="Calibri"/>
          <w:b/>
          <w:bCs/>
          <w:color w:val="0B1F3A"/>
          <w:sz w:val="28"/>
          <w:szCs w:val="28"/>
        </w:rPr>
        <w:t xml:space="preserve">5. What you must never put into AI tools</w:t>
      </w:r>
    </w:p>
    <w:p>
      <w:pPr>
        <w:spacing w:after="120"/>
      </w:pPr>
      <w:r>
        <w:rPr>
          <w:rFonts w:ascii="Calibri" w:cs="Calibri" w:eastAsia="Calibri" w:hAnsi="Calibri"/>
          <w:color w:val="222222"/>
          <w:sz w:val="21"/>
          <w:szCs w:val="21"/>
        </w:rPr>
        <w:t xml:space="preserve">Never enter the following into any public AI tool, and only enter it into an approved enterprise tool where the policy owner has confirmed it is safe to do so:</w:t>
      </w:r>
    </w:p>
    <w:p>
      <w:pPr>
        <w:pStyle w:val="ListParagraph"/>
        <w:numPr>
          <w:ilvl w:val="0"/>
          <w:numId w:val="1"/>
        </w:numPr>
        <w:spacing w:after="60"/>
      </w:pPr>
      <w:r>
        <w:rPr>
          <w:rFonts w:ascii="Calibri" w:cs="Calibri" w:eastAsia="Calibri" w:hAnsi="Calibri"/>
          <w:color w:val="222222"/>
          <w:sz w:val="21"/>
          <w:szCs w:val="21"/>
        </w:rPr>
        <w:t xml:space="preserve">Personal data about staff, clients or third parties (names, contact details, anything covered by UK GDPR).</w:t>
      </w:r>
    </w:p>
    <w:p>
      <w:pPr>
        <w:pStyle w:val="ListParagraph"/>
        <w:numPr>
          <w:ilvl w:val="0"/>
          <w:numId w:val="1"/>
        </w:numPr>
        <w:spacing w:after="60"/>
      </w:pPr>
      <w:r>
        <w:rPr>
          <w:rFonts w:ascii="Calibri" w:cs="Calibri" w:eastAsia="Calibri" w:hAnsi="Calibri"/>
          <w:color w:val="222222"/>
          <w:sz w:val="21"/>
          <w:szCs w:val="21"/>
        </w:rPr>
        <w:t xml:space="preserve">Client confidential information, contracts or anything under a non-disclosure agreement.</w:t>
      </w:r>
    </w:p>
    <w:p>
      <w:pPr>
        <w:pStyle w:val="ListParagraph"/>
        <w:numPr>
          <w:ilvl w:val="0"/>
          <w:numId w:val="1"/>
        </w:numPr>
        <w:spacing w:after="60"/>
      </w:pPr>
      <w:r>
        <w:rPr>
          <w:rFonts w:ascii="Calibri" w:cs="Calibri" w:eastAsia="Calibri" w:hAnsi="Calibri"/>
          <w:color w:val="222222"/>
          <w:sz w:val="21"/>
          <w:szCs w:val="21"/>
        </w:rPr>
        <w:t xml:space="preserve">Financial, commercial or health information.</w:t>
      </w:r>
    </w:p>
    <w:p>
      <w:pPr>
        <w:pStyle w:val="ListParagraph"/>
        <w:numPr>
          <w:ilvl w:val="0"/>
          <w:numId w:val="1"/>
        </w:numPr>
        <w:spacing w:after="60"/>
      </w:pPr>
      <w:r>
        <w:rPr>
          <w:rFonts w:ascii="Calibri" w:cs="Calibri" w:eastAsia="Calibri" w:hAnsi="Calibri"/>
          <w:color w:val="222222"/>
          <w:sz w:val="21"/>
          <w:szCs w:val="21"/>
        </w:rPr>
        <w:t xml:space="preserve">Passwords, API keys or other credentials.</w:t>
      </w:r>
    </w:p>
    <w:p>
      <w:pPr>
        <w:pStyle w:val="ListParagraph"/>
        <w:numPr>
          <w:ilvl w:val="0"/>
          <w:numId w:val="1"/>
        </w:numPr>
        <w:spacing w:after="60"/>
      </w:pPr>
      <w:r>
        <w:rPr>
          <w:rFonts w:ascii="Calibri" w:cs="Calibri" w:eastAsia="Calibri" w:hAnsi="Calibri"/>
          <w:color w:val="222222"/>
          <w:sz w:val="21"/>
          <w:szCs w:val="21"/>
        </w:rPr>
        <w:t xml:space="preserve">Source code or system information, unless explicitly approved.</w:t>
      </w:r>
    </w:p>
    <w:p>
      <w:pPr>
        <w:spacing w:after="120"/>
      </w:pPr>
      <w:r>
        <w:rPr>
          <w:rFonts w:ascii="Calibri" w:cs="Calibri" w:eastAsia="Calibri" w:hAnsi="Calibri"/>
          <w:b/>
          <w:bCs/>
          <w:color w:val="222222"/>
          <w:sz w:val="21"/>
          <w:szCs w:val="21"/>
        </w:rPr>
        <w:t xml:space="preserve">A simple test: if you would not email it to an outside party, do not paste it into an AI tool.</w:t>
      </w:r>
    </w:p>
    <w:p>
      <w:pPr>
        <w:pBdr>
          <w:bottom w:val="single" w:color="D8E3F0" w:sz="6" w:space="4"/>
        </w:pBdr>
        <w:spacing w:after="120" w:before="280"/>
      </w:pPr>
      <w:r>
        <w:rPr>
          <w:rFonts w:ascii="Calibri" w:cs="Calibri" w:eastAsia="Calibri" w:hAnsi="Calibri"/>
          <w:b/>
          <w:bCs/>
          <w:color w:val="0B1F3A"/>
          <w:sz w:val="28"/>
          <w:szCs w:val="28"/>
        </w:rPr>
        <w:t xml:space="preserve">6. Data protection and confidentiality</w:t>
      </w:r>
    </w:p>
    <w:p>
      <w:pPr>
        <w:spacing w:after="120"/>
      </w:pPr>
      <w:r>
        <w:rPr>
          <w:rFonts w:ascii="Calibri" w:cs="Calibri" w:eastAsia="Calibri" w:hAnsi="Calibri"/>
          <w:color w:val="222222"/>
          <w:sz w:val="21"/>
          <w:szCs w:val="21"/>
        </w:rPr>
        <w:t xml:space="preserve">[Organisation name] is responsible for the personal data it holds under UK GDPR and the Data Protection Act 2018. AI tools do not remove that responsibility. Public AI tools may store or reuse what you enter, so treat anything typed into them as potentially public. Approved enterprise tools are configured to keep our data within our control; always use these in preference to public tools for anything work-related.</w:t>
      </w:r>
    </w:p>
    <w:p>
      <w:pPr>
        <w:pBdr>
          <w:bottom w:val="single" w:color="D8E3F0" w:sz="6" w:space="4"/>
        </w:pBdr>
        <w:spacing w:after="120" w:before="280"/>
      </w:pPr>
      <w:r>
        <w:rPr>
          <w:rFonts w:ascii="Calibri" w:cs="Calibri" w:eastAsia="Calibri" w:hAnsi="Calibri"/>
          <w:b/>
          <w:bCs/>
          <w:color w:val="0B1F3A"/>
          <w:sz w:val="28"/>
          <w:szCs w:val="28"/>
        </w:rPr>
        <w:t xml:space="preserve">7. Accuracy and human oversight</w:t>
      </w:r>
    </w:p>
    <w:p>
      <w:pPr>
        <w:spacing w:after="120"/>
      </w:pPr>
      <w:r>
        <w:rPr>
          <w:rFonts w:ascii="Calibri" w:cs="Calibri" w:eastAsia="Calibri" w:hAnsi="Calibri"/>
          <w:color w:val="222222"/>
          <w:sz w:val="21"/>
          <w:szCs w:val="21"/>
        </w:rPr>
        <w:t xml:space="preserve">AI can be confidently wrong — it can invent facts, references and figures. You remain accountable for any work you produce with AI, so always review and verify AI output before relying on or sharing it. Never use AI as the sole basis for a decision with legal, financial, safety or HR consequences without appropriate human review.</w:t>
      </w:r>
    </w:p>
    <w:p>
      <w:pPr>
        <w:pBdr>
          <w:bottom w:val="single" w:color="D8E3F0" w:sz="6" w:space="4"/>
        </w:pBdr>
        <w:spacing w:after="120" w:before="280"/>
      </w:pPr>
      <w:r>
        <w:rPr>
          <w:rFonts w:ascii="Calibri" w:cs="Calibri" w:eastAsia="Calibri" w:hAnsi="Calibri"/>
          <w:b/>
          <w:bCs/>
          <w:color w:val="0B1F3A"/>
          <w:sz w:val="28"/>
          <w:szCs w:val="28"/>
        </w:rPr>
        <w:t xml:space="preserve">8. Security requirements</w:t>
      </w:r>
    </w:p>
    <w:p>
      <w:pPr>
        <w:pStyle w:val="ListParagraph"/>
        <w:numPr>
          <w:ilvl w:val="0"/>
          <w:numId w:val="1"/>
        </w:numPr>
        <w:spacing w:after="60"/>
      </w:pPr>
      <w:r>
        <w:rPr>
          <w:rFonts w:ascii="Calibri" w:cs="Calibri" w:eastAsia="Calibri" w:hAnsi="Calibri"/>
          <w:color w:val="222222"/>
          <w:sz w:val="21"/>
          <w:szCs w:val="21"/>
        </w:rPr>
        <w:t xml:space="preserve">Use only your [Organisation name] account for work AI tools — never a personal account.</w:t>
      </w:r>
    </w:p>
    <w:p>
      <w:pPr>
        <w:pStyle w:val="ListParagraph"/>
        <w:numPr>
          <w:ilvl w:val="0"/>
          <w:numId w:val="1"/>
        </w:numPr>
        <w:spacing w:after="60"/>
      </w:pPr>
      <w:r>
        <w:rPr>
          <w:rFonts w:ascii="Calibri" w:cs="Calibri" w:eastAsia="Calibri" w:hAnsi="Calibri"/>
          <w:color w:val="222222"/>
          <w:sz w:val="21"/>
          <w:szCs w:val="21"/>
        </w:rPr>
        <w:t xml:space="preserve">Multi-factor authentication (MFA) must be enabled on every account used to access AI and cloud services.</w:t>
      </w:r>
    </w:p>
    <w:p>
      <w:pPr>
        <w:pStyle w:val="ListParagraph"/>
        <w:numPr>
          <w:ilvl w:val="0"/>
          <w:numId w:val="1"/>
        </w:numPr>
        <w:spacing w:after="60"/>
      </w:pPr>
      <w:r>
        <w:rPr>
          <w:rFonts w:ascii="Calibri" w:cs="Calibri" w:eastAsia="Calibri" w:hAnsi="Calibri"/>
          <w:color w:val="222222"/>
          <w:sz w:val="21"/>
          <w:szCs w:val="21"/>
        </w:rPr>
        <w:t xml:space="preserve">Do not install AI browser extensions or apps on work devices without approval.</w:t>
      </w:r>
    </w:p>
    <w:p>
      <w:pPr>
        <w:pStyle w:val="ListParagraph"/>
        <w:numPr>
          <w:ilvl w:val="0"/>
          <w:numId w:val="1"/>
        </w:numPr>
        <w:spacing w:after="60"/>
      </w:pPr>
      <w:r>
        <w:rPr>
          <w:rFonts w:ascii="Calibri" w:cs="Calibri" w:eastAsia="Calibri" w:hAnsi="Calibri"/>
          <w:color w:val="222222"/>
          <w:sz w:val="21"/>
          <w:szCs w:val="21"/>
        </w:rPr>
        <w:t xml:space="preserve">Report any suspected data exposure or security incident immediately (see section 11).</w:t>
      </w:r>
    </w:p>
    <w:p>
      <w:pPr>
        <w:pBdr>
          <w:bottom w:val="single" w:color="D8E3F0" w:sz="6" w:space="4"/>
        </w:pBdr>
        <w:spacing w:after="120" w:before="280"/>
      </w:pPr>
      <w:r>
        <w:rPr>
          <w:rFonts w:ascii="Calibri" w:cs="Calibri" w:eastAsia="Calibri" w:hAnsi="Calibri"/>
          <w:b/>
          <w:bCs/>
          <w:color w:val="0B1F3A"/>
          <w:sz w:val="28"/>
          <w:szCs w:val="28"/>
        </w:rPr>
        <w:t xml:space="preserve">9. AI and Cyber Essentials</w:t>
      </w:r>
    </w:p>
    <w:p>
      <w:pPr>
        <w:spacing w:after="120"/>
      </w:pPr>
      <w:r>
        <w:rPr>
          <w:rFonts w:ascii="Calibri" w:cs="Calibri" w:eastAsia="Calibri" w:hAnsi="Calibri"/>
          <w:color w:val="222222"/>
          <w:sz w:val="21"/>
          <w:szCs w:val="21"/>
        </w:rPr>
        <w:t xml:space="preserve">AI tools are cloud services. Under Cyber Essentials v3.3 (in force from 27 April 2026), cloud services accessed with business credentials that store or process organisational data are in scope for certification and cannot be excluded, and MFA is mandatory wherever a service supports it. Keeping this policy — and the approved-tools list — current is part of maintaining our certification.</w:t>
      </w:r>
    </w:p>
    <w:p>
      <w:pPr>
        <w:pBdr>
          <w:bottom w:val="single" w:color="D8E3F0" w:sz="6" w:space="4"/>
        </w:pBdr>
        <w:spacing w:after="120" w:before="280"/>
      </w:pPr>
      <w:r>
        <w:rPr>
          <w:rFonts w:ascii="Calibri" w:cs="Calibri" w:eastAsia="Calibri" w:hAnsi="Calibri"/>
          <w:b/>
          <w:bCs/>
          <w:color w:val="0B1F3A"/>
          <w:sz w:val="28"/>
          <w:szCs w:val="28"/>
        </w:rPr>
        <w:t xml:space="preserve">10. Roles and responsibilities</w:t>
      </w:r>
    </w:p>
    <w:p>
      <w:pPr>
        <w:pStyle w:val="ListParagraph"/>
        <w:numPr>
          <w:ilvl w:val="0"/>
          <w:numId w:val="1"/>
        </w:numPr>
        <w:spacing w:after="60"/>
      </w:pPr>
      <w:r>
        <w:rPr>
          <w:rFonts w:ascii="Calibri" w:cs="Calibri" w:eastAsia="Calibri" w:hAnsi="Calibri"/>
          <w:color w:val="222222"/>
          <w:sz w:val="21"/>
          <w:szCs w:val="21"/>
        </w:rPr>
        <w:t xml:space="preserve">[Policy owner] owns this policy, maintains the approved-tools list, and answers questions about AI use.</w:t>
      </w:r>
    </w:p>
    <w:p>
      <w:pPr>
        <w:pStyle w:val="ListParagraph"/>
        <w:numPr>
          <w:ilvl w:val="0"/>
          <w:numId w:val="1"/>
        </w:numPr>
        <w:spacing w:after="60"/>
      </w:pPr>
      <w:r>
        <w:rPr>
          <w:rFonts w:ascii="Calibri" w:cs="Calibri" w:eastAsia="Calibri" w:hAnsi="Calibri"/>
          <w:color w:val="222222"/>
          <w:sz w:val="21"/>
          <w:szCs w:val="21"/>
        </w:rPr>
        <w:t xml:space="preserve">Managers ensure their teams understand and follow this policy.</w:t>
      </w:r>
    </w:p>
    <w:p>
      <w:pPr>
        <w:pStyle w:val="ListParagraph"/>
        <w:numPr>
          <w:ilvl w:val="0"/>
          <w:numId w:val="1"/>
        </w:numPr>
        <w:spacing w:after="60"/>
      </w:pPr>
      <w:r>
        <w:rPr>
          <w:rFonts w:ascii="Calibri" w:cs="Calibri" w:eastAsia="Calibri" w:hAnsi="Calibri"/>
          <w:color w:val="222222"/>
          <w:sz w:val="21"/>
          <w:szCs w:val="21"/>
        </w:rPr>
        <w:t xml:space="preserve">All staff are responsible for using AI in line with this policy and for raising concerns.</w:t>
      </w:r>
    </w:p>
    <w:p>
      <w:pPr>
        <w:pBdr>
          <w:bottom w:val="single" w:color="D8E3F0" w:sz="6" w:space="4"/>
        </w:pBdr>
        <w:spacing w:after="120" w:before="280"/>
      </w:pPr>
      <w:r>
        <w:rPr>
          <w:rFonts w:ascii="Calibri" w:cs="Calibri" w:eastAsia="Calibri" w:hAnsi="Calibri"/>
          <w:b/>
          <w:bCs/>
          <w:color w:val="0B1F3A"/>
          <w:sz w:val="28"/>
          <w:szCs w:val="28"/>
        </w:rPr>
        <w:t xml:space="preserve">11. Reporting concerns and incidents</w:t>
      </w:r>
    </w:p>
    <w:p>
      <w:pPr>
        <w:spacing w:after="120"/>
      </w:pPr>
      <w:r>
        <w:rPr>
          <w:rFonts w:ascii="Calibri" w:cs="Calibri" w:eastAsia="Calibri" w:hAnsi="Calibri"/>
          <w:color w:val="222222"/>
          <w:sz w:val="21"/>
          <w:szCs w:val="21"/>
        </w:rPr>
        <w:t xml:space="preserve">If you think confidential data may have been exposed through an AI tool, or you are unsure whether a use is acceptable, contact [Name / role] at [email / phone] as soon as possible. Raising a concern early is always the right thing to do — you will not be penalised for asking.</w:t>
      </w:r>
    </w:p>
    <w:p>
      <w:pPr>
        <w:pBdr>
          <w:bottom w:val="single" w:color="D8E3F0" w:sz="6" w:space="4"/>
        </w:pBdr>
        <w:spacing w:after="120" w:before="280"/>
      </w:pPr>
      <w:r>
        <w:rPr>
          <w:rFonts w:ascii="Calibri" w:cs="Calibri" w:eastAsia="Calibri" w:hAnsi="Calibri"/>
          <w:b/>
          <w:bCs/>
          <w:color w:val="0B1F3A"/>
          <w:sz w:val="28"/>
          <w:szCs w:val="28"/>
        </w:rPr>
        <w:t xml:space="preserve">12. Breaches of this policy</w:t>
      </w:r>
    </w:p>
    <w:p>
      <w:pPr>
        <w:spacing w:after="120"/>
      </w:pPr>
      <w:r>
        <w:rPr>
          <w:rFonts w:ascii="Calibri" w:cs="Calibri" w:eastAsia="Calibri" w:hAnsi="Calibri"/>
          <w:color w:val="222222"/>
          <w:sz w:val="21"/>
          <w:szCs w:val="21"/>
        </w:rPr>
        <w:t xml:space="preserve">Failure to follow this policy may result in disciplinary action in line with [Organisation name]'s disciplinary procedures and, where relevant, may be reported to the appropriate authorities.</w:t>
      </w:r>
    </w:p>
    <w:p>
      <w:pPr>
        <w:pBdr>
          <w:bottom w:val="single" w:color="D8E3F0" w:sz="6" w:space="4"/>
        </w:pBdr>
        <w:spacing w:after="120" w:before="280"/>
      </w:pPr>
      <w:r>
        <w:rPr>
          <w:rFonts w:ascii="Calibri" w:cs="Calibri" w:eastAsia="Calibri" w:hAnsi="Calibri"/>
          <w:b/>
          <w:bCs/>
          <w:color w:val="0B1F3A"/>
          <w:sz w:val="28"/>
          <w:szCs w:val="28"/>
        </w:rPr>
        <w:t xml:space="preserve">13. Review and version control</w:t>
      </w:r>
    </w:p>
    <w:p>
      <w:pPr>
        <w:spacing w:after="120"/>
      </w:pPr>
      <w:r>
        <w:rPr>
          <w:rFonts w:ascii="Calibri" w:cs="Calibri" w:eastAsia="Calibri" w:hAnsi="Calibri"/>
          <w:color w:val="222222"/>
          <w:sz w:val="21"/>
          <w:szCs w:val="21"/>
        </w:rPr>
        <w:t xml:space="preserve">AI changes quickly, so this policy will be reviewed at least [every 6 / 12 months] and whenever significant new tools or risks emerge. The version and review date are recorded at the top of this document.</w:t>
      </w:r>
    </w:p>
    <w:p>
      <w:pPr>
        <w:pBdr>
          <w:bottom w:val="single" w:color="D8E3F0" w:sz="6" w:space="4"/>
        </w:pBdr>
        <w:spacing w:after="120" w:before="280"/>
      </w:pPr>
      <w:r>
        <w:rPr>
          <w:rFonts w:ascii="Calibri" w:cs="Calibri" w:eastAsia="Calibri" w:hAnsi="Calibri"/>
          <w:b/>
          <w:bCs/>
          <w:color w:val="0B1F3A"/>
          <w:sz w:val="28"/>
          <w:szCs w:val="28"/>
        </w:rPr>
        <w:t xml:space="preserve">Acknowledgement</w:t>
      </w:r>
    </w:p>
    <w:p>
      <w:pPr>
        <w:spacing w:after="120"/>
      </w:pPr>
      <w:r>
        <w:rPr>
          <w:rFonts w:ascii="Calibri" w:cs="Calibri" w:eastAsia="Calibri" w:hAnsi="Calibri"/>
          <w:color w:val="222222"/>
          <w:sz w:val="21"/>
          <w:szCs w:val="21"/>
        </w:rPr>
        <w:t xml:space="preserve">I confirm that I have read, understood and agree to follow the [Organisation name] AI Usage Policy.</w:t>
      </w:r>
    </w:p>
    <w:p>
      <w:pPr>
        <w:spacing w:before="160"/>
      </w:pPr>
      <w:r>
        <w:rPr>
          <w:rFonts w:ascii="Calibri" w:cs="Calibri" w:eastAsia="Calibri" w:hAnsi="Calibri"/>
          <w:color w:val="222222"/>
          <w:sz w:val="21"/>
          <w:szCs w:val="21"/>
        </w:rPr>
        <w:t xml:space="preserve">Name: ______________________________   Signature: ______________________________   Date: ____________</w:t>
      </w:r>
    </w:p>
    <w:p>
      <w:pPr>
        <w:pBdr>
          <w:top w:val="single" w:color="D8E3F0" w:sz="6" w:space="6"/>
        </w:pBdr>
        <w:spacing w:before="260"/>
      </w:pPr>
      <w:r>
        <w:rPr>
          <w:rFonts w:ascii="Calibri" w:cs="Calibri" w:eastAsia="Calibri" w:hAnsi="Calibri"/>
          <w:b/>
          <w:bCs/>
          <w:color w:val="0B1F3A"/>
          <w:sz w:val="19"/>
          <w:szCs w:val="19"/>
        </w:rPr>
        <w:t xml:space="preserve">Need this tailored to your organisation? </w:t>
      </w:r>
      <w:r>
        <w:rPr>
          <w:rFonts w:ascii="Calibri" w:cs="Calibri" w:eastAsia="Calibri" w:hAnsi="Calibri"/>
          <w:color w:val="5A6A82"/>
          <w:sz w:val="19"/>
          <w:szCs w:val="19"/>
        </w:rPr>
        <w:t xml:space="preserve">Foresight helps Greater Manchester and UK businesses adopt AI safely — from finding shadow AI to policy, data loss prevention and Cyber Essentials. Visit foresightuk.com or call 0161 738 1399.</w:t>
      </w:r>
    </w:p>
    <w:p>
      <w:pPr>
        <w:spacing w:before="60"/>
      </w:pPr>
      <w:r>
        <w:rPr>
          <w:rFonts w:ascii="Calibri" w:cs="Calibri" w:eastAsia="Calibri" w:hAnsi="Calibri"/>
          <w:i/>
          <w:iCs/>
          <w:color w:val="5A6A82"/>
          <w:sz w:val="16"/>
          <w:szCs w:val="16"/>
        </w:rPr>
        <w:t xml:space="preserve">Disclaimer: This template is provided for general guidance only and does not constitute legal advice. Review and adapt it for your organisation before use.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A82"/>
        <w:sz w:val="16"/>
        <w:szCs w:val="16"/>
      </w:rPr>
      <w:t xml:space="preserve">Template provided by Foresight I.T. Services  ·  foresightuk.com  ·  0161 738 1399  ·  Page </w:t>
    </w:r>
    <w:r>
      <w:rPr>
        <w:rFonts w:ascii="Calibri" w:cs="Calibri" w:eastAsia="Calibri" w:hAnsi="Calibri"/>
        <w:color w:val="5A6A8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Usage Policy Template</dc:title>
  <dc:creator>Foresight IT Services</dc:creator>
  <cp:lastModifiedBy>Un-named</cp:lastModifiedBy>
  <cp:revision>1</cp:revision>
  <dcterms:created xsi:type="dcterms:W3CDTF">2026-09-18T19:26:31.639Z</dcterms:created>
  <dcterms:modified xsi:type="dcterms:W3CDTF">2026-09-18T19:26:31.651Z</dcterms:modified>
</cp:coreProperties>
</file>

<file path=docProps/custom.xml><?xml version="1.0" encoding="utf-8"?>
<Properties xmlns="http://schemas.openxmlformats.org/officeDocument/2006/custom-properties" xmlns:vt="http://schemas.openxmlformats.org/officeDocument/2006/docPropsVTypes"/>
</file>